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FF9" w:rsidRPr="008B6B0D" w:rsidRDefault="00012362" w:rsidP="00F0592F">
      <w:pPr>
        <w:outlineLvl w:val="0"/>
        <w:rPr>
          <w:b/>
          <w:sz w:val="24"/>
          <w:szCs w:val="24"/>
        </w:rPr>
      </w:pPr>
      <w:r>
        <w:rPr>
          <w:b/>
          <w:sz w:val="24"/>
          <w:szCs w:val="24"/>
        </w:rPr>
        <w:t>ZAKEN EN DEEL ZAKEN</w:t>
      </w:r>
    </w:p>
    <w:p w:rsidR="00221843" w:rsidRPr="00454235" w:rsidRDefault="004B6715" w:rsidP="0075054C">
      <w:pPr>
        <w:outlineLvl w:val="0"/>
        <w:rPr>
          <w:sz w:val="18"/>
          <w:szCs w:val="18"/>
        </w:rPr>
      </w:pPr>
      <w:r>
        <w:rPr>
          <w:sz w:val="18"/>
          <w:szCs w:val="18"/>
        </w:rPr>
        <w:t>Gespreksnotitie, b</w:t>
      </w:r>
      <w:r w:rsidR="00454235" w:rsidRPr="00454235">
        <w:rPr>
          <w:sz w:val="18"/>
          <w:szCs w:val="18"/>
        </w:rPr>
        <w:t>ijlage bij agenda RGBZ-werkgroep dd. 6 maart 2012</w:t>
      </w:r>
      <w:r w:rsidR="00454235" w:rsidRPr="00454235">
        <w:rPr>
          <w:sz w:val="18"/>
          <w:szCs w:val="18"/>
        </w:rPr>
        <w:br/>
      </w:r>
      <w:r w:rsidR="008B6B0D" w:rsidRPr="00454235">
        <w:rPr>
          <w:sz w:val="18"/>
          <w:szCs w:val="18"/>
        </w:rPr>
        <w:t xml:space="preserve">Arjan Kloosterboer, </w:t>
      </w:r>
      <w:r w:rsidR="00C405A3" w:rsidRPr="00454235">
        <w:rPr>
          <w:sz w:val="18"/>
          <w:szCs w:val="18"/>
        </w:rPr>
        <w:t>2</w:t>
      </w:r>
      <w:r w:rsidR="008B6B0D" w:rsidRPr="00454235">
        <w:rPr>
          <w:sz w:val="18"/>
          <w:szCs w:val="18"/>
        </w:rPr>
        <w:t>-</w:t>
      </w:r>
      <w:r w:rsidR="00012362" w:rsidRPr="00454235">
        <w:rPr>
          <w:sz w:val="18"/>
          <w:szCs w:val="18"/>
        </w:rPr>
        <w:t>3</w:t>
      </w:r>
      <w:r w:rsidR="008B6B0D" w:rsidRPr="00454235">
        <w:rPr>
          <w:sz w:val="18"/>
          <w:szCs w:val="18"/>
        </w:rPr>
        <w:t>-2012</w:t>
      </w:r>
    </w:p>
    <w:p w:rsidR="00BC54B4" w:rsidRDefault="0075054C" w:rsidP="0075054C">
      <w:pPr>
        <w:outlineLvl w:val="0"/>
      </w:pPr>
      <w:r>
        <w:t xml:space="preserve">In de praktijk van het zaakgericht werken </w:t>
      </w:r>
      <w:r w:rsidR="0045253D">
        <w:t>koppelt</w:t>
      </w:r>
      <w:r>
        <w:t xml:space="preserve"> de zaak</w:t>
      </w:r>
      <w:r w:rsidR="0045253D">
        <w:t xml:space="preserve"> alle betrokkenen, activiteiten en informatie</w:t>
      </w:r>
      <w:r w:rsidR="00BC54B4">
        <w:t xml:space="preserve"> aan elkaar</w:t>
      </w:r>
      <w:r w:rsidR="0045253D">
        <w:t xml:space="preserve">. Blijkbaar lukt het niet in alle gevallen om hetgeen gevraagd is te </w:t>
      </w:r>
      <w:r w:rsidR="00BC54B4">
        <w:t>producer</w:t>
      </w:r>
      <w:r w:rsidR="0045253D">
        <w:t xml:space="preserve">en vanuit één zaak. In dergelijke gevallen worden deelzaken gecreëerd. </w:t>
      </w:r>
      <w:r w:rsidR="00BC54B4">
        <w:t xml:space="preserve">Niet eenduidig is wanneer deelzaken toegepast worden. De ene organisatie gaat daar anders mee om dan de andere. Bij het samenwerken aan zaken in ketens en bij de uitwisseling van informatie over zaken kan dit tot problemen leiden. </w:t>
      </w:r>
      <w:r w:rsidR="00454235">
        <w:t>D</w:t>
      </w:r>
      <w:r w:rsidR="00BC54B4">
        <w:t xml:space="preserve">uidelijkheid </w:t>
      </w:r>
      <w:r w:rsidR="00454235">
        <w:t xml:space="preserve">omtrent het toepassen van deelzaken is tevens </w:t>
      </w:r>
      <w:r w:rsidR="00BC54B4">
        <w:t xml:space="preserve">gewenst voor het kunnen specificeren van zaaktypen in de ZTC 2.0. </w:t>
      </w:r>
      <w:r w:rsidR="00454235">
        <w:t>Tot slot is het de vraag of deelzaken op wenselijke wijze gemodelleerd zijn in het RGBZ.</w:t>
      </w:r>
    </w:p>
    <w:p w:rsidR="0045253D" w:rsidRDefault="00BC54B4" w:rsidP="0075054C">
      <w:pPr>
        <w:outlineLvl w:val="0"/>
      </w:pPr>
      <w:r>
        <w:t>Hieronder volgt een eerste verkenning. In de RGBZ-werkgroep beogen we tot duidelijkheid te komen.</w:t>
      </w:r>
      <w:r w:rsidR="0075054C">
        <w:t xml:space="preserve"> </w:t>
      </w:r>
    </w:p>
    <w:p w:rsidR="00BC54B4" w:rsidRPr="00454235" w:rsidRDefault="00BC54B4" w:rsidP="0075054C">
      <w:pPr>
        <w:outlineLvl w:val="0"/>
        <w:rPr>
          <w:b/>
        </w:rPr>
      </w:pPr>
      <w:r w:rsidRPr="00454235">
        <w:rPr>
          <w:b/>
        </w:rPr>
        <w:t>RGBZ</w:t>
      </w:r>
    </w:p>
    <w:p w:rsidR="00F14A1F" w:rsidRDefault="00AA6D22" w:rsidP="0075054C">
      <w:pPr>
        <w:outlineLvl w:val="0"/>
      </w:pPr>
      <w:r>
        <w:rPr>
          <w:noProof/>
          <w:lang w:eastAsia="nl-NL"/>
        </w:rPr>
        <w:drawing>
          <wp:anchor distT="0" distB="0" distL="114300" distR="114300" simplePos="0" relativeHeight="251658240" behindDoc="0" locked="0" layoutInCell="1" allowOverlap="1">
            <wp:simplePos x="0" y="0"/>
            <wp:positionH relativeFrom="column">
              <wp:posOffset>4500880</wp:posOffset>
            </wp:positionH>
            <wp:positionV relativeFrom="paragraph">
              <wp:posOffset>-3810</wp:posOffset>
            </wp:positionV>
            <wp:extent cx="1743075" cy="2943225"/>
            <wp:effectExtent l="0" t="0" r="9525" b="0"/>
            <wp:wrapSquare wrapText="bothSides"/>
            <wp:docPr id="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5742" t="6916" r="6699" b="4035"/>
                    <a:stretch>
                      <a:fillRect/>
                    </a:stretch>
                  </pic:blipFill>
                  <pic:spPr bwMode="auto">
                    <a:xfrm>
                      <a:off x="0" y="0"/>
                      <a:ext cx="1743075" cy="2943225"/>
                    </a:xfrm>
                    <a:prstGeom prst="rect">
                      <a:avLst/>
                    </a:prstGeom>
                    <a:noFill/>
                    <a:ln w="9525">
                      <a:noFill/>
                      <a:miter lim="800000"/>
                      <a:headEnd/>
                      <a:tailEnd/>
                    </a:ln>
                  </pic:spPr>
                </pic:pic>
              </a:graphicData>
            </a:graphic>
          </wp:anchor>
        </w:drawing>
      </w:r>
      <w:r w:rsidR="0075054C">
        <w:t xml:space="preserve">Het RGBZ kent het objecttype </w:t>
      </w:r>
      <w:r w:rsidR="0075054C" w:rsidRPr="00F14A1F">
        <w:rPr>
          <w:b/>
          <w:i/>
        </w:rPr>
        <w:t>ZAAK</w:t>
      </w:r>
      <w:r w:rsidR="0075054C">
        <w:t xml:space="preserve"> </w:t>
      </w:r>
      <w:r w:rsidR="00BC54B4">
        <w:t xml:space="preserve">en definieert dit zoals algemeen gebruikelijk: </w:t>
      </w:r>
    </w:p>
    <w:p w:rsidR="00F14A1F" w:rsidRPr="00FF526D" w:rsidRDefault="00FF526D" w:rsidP="00F14A1F">
      <w:pPr>
        <w:spacing w:before="0"/>
        <w:ind w:left="425"/>
        <w:outlineLvl w:val="0"/>
        <w:rPr>
          <w:i/>
        </w:rPr>
      </w:pPr>
      <w:r w:rsidRPr="00FF526D">
        <w:rPr>
          <w:i/>
        </w:rPr>
        <w:t>Een samenhangende hoeveelheid werk met een welgedefinieerde aanleiding en een welgedefinieerd eindresultaat, waarvan kwaliteit en doorlooptijd bewaakt moeten worden.</w:t>
      </w:r>
      <w:r w:rsidR="00BC54B4" w:rsidRPr="00FF526D">
        <w:rPr>
          <w:i/>
        </w:rPr>
        <w:t xml:space="preserve"> </w:t>
      </w:r>
      <w:r w:rsidR="0075054C" w:rsidRPr="00FF526D">
        <w:rPr>
          <w:i/>
        </w:rPr>
        <w:t xml:space="preserve"> </w:t>
      </w:r>
    </w:p>
    <w:p w:rsidR="0075054C" w:rsidRDefault="00454235" w:rsidP="0075054C">
      <w:pPr>
        <w:outlineLvl w:val="0"/>
      </w:pPr>
      <w:r>
        <w:t>Het objecttype is bedoeld voor zowel ‘hoofdzaken’ als deelzaken.  Daaruit volgt dat de definitie van een deel</w:t>
      </w:r>
      <w:r w:rsidR="00FD0C97">
        <w:softHyphen/>
      </w:r>
      <w:r>
        <w:t xml:space="preserve">zaak dezelfde is als die van ZAAK. </w:t>
      </w:r>
      <w:r w:rsidR="002A6C79">
        <w:t>Een definitie van deel</w:t>
      </w:r>
      <w:r w:rsidR="00FD0C97">
        <w:softHyphen/>
      </w:r>
      <w:r w:rsidR="002A6C79">
        <w:t xml:space="preserve">zaak is er dus niet. Wel specificeert het RGBZ met de </w:t>
      </w:r>
      <w:r w:rsidR="00F14A1F">
        <w:t xml:space="preserve">definitie van de </w:t>
      </w:r>
      <w:r w:rsidR="002A6C79">
        <w:t>relatiesoort ‘</w:t>
      </w:r>
      <w:r w:rsidR="002A6C79" w:rsidRPr="00F14A1F">
        <w:rPr>
          <w:b/>
          <w:i/>
        </w:rPr>
        <w:t>ZAAK is deelzaak van ZAAK</w:t>
      </w:r>
      <w:r w:rsidR="002A6C79">
        <w:t>’ hoe deelzaken zich verhouden tot een ‘hoofdzaak’</w:t>
      </w:r>
      <w:r w:rsidR="00F14A1F">
        <w:t>:</w:t>
      </w:r>
    </w:p>
    <w:p w:rsidR="00F14A1F" w:rsidRPr="00FF526D" w:rsidRDefault="00F14A1F" w:rsidP="00F14A1F">
      <w:pPr>
        <w:spacing w:before="0"/>
        <w:ind w:left="425"/>
        <w:outlineLvl w:val="0"/>
        <w:rPr>
          <w:i/>
        </w:rPr>
      </w:pPr>
      <w:r w:rsidRPr="00FF526D">
        <w:rPr>
          <w:i/>
        </w:rPr>
        <w:t>De verwijzing naar de ZAAK, waarom verzocht is door de initiator daarvan, die door de zaakbehandelende organisatie is opgedeeld in twee of meer separaat te behandelen zaken waarvan de onderhavige zaak er één is.</w:t>
      </w:r>
    </w:p>
    <w:p w:rsidR="00F14A1F" w:rsidRDefault="00FD0C97" w:rsidP="0075054C">
      <w:pPr>
        <w:outlineLvl w:val="0"/>
      </w:pPr>
      <w:r>
        <w:t>De toelichting op deze relatiesoort vermeld het volgende:</w:t>
      </w:r>
    </w:p>
    <w:p w:rsidR="00FD0C97" w:rsidRPr="00FD0C97" w:rsidRDefault="00FD0C97" w:rsidP="00FD0C97">
      <w:pPr>
        <w:spacing w:before="0"/>
        <w:ind w:left="425"/>
        <w:outlineLvl w:val="0"/>
        <w:rPr>
          <w:i/>
        </w:rPr>
      </w:pPr>
      <w:r w:rsidRPr="00FD0C97">
        <w:rPr>
          <w:i/>
        </w:rPr>
        <w:t xml:space="preserve">Niet altijd is het mogelijk om een zaak, die in de ogen van de initiator daarvan als één samenhangend geheel beschouwd wordt, als één zaak binnen de organisatie te behandelen. In dat geval kan de zaakbehandelende organisatie de aangevraagde zaak opsplitsen in meerdere ‘deelzaken’ die ieder op zich weer een zaak vormen. Voor de initiator is en blijft de zaak als geheel relevant. De zaakbehandelende organisatie richt zich meer op de deelzaken. De relatiesoort brengt het verband aan tussen al deze zaken zodat alle betrokkenen juist en doelgericht </w:t>
      </w:r>
      <w:r w:rsidR="0059781E" w:rsidRPr="00FD0C97">
        <w:rPr>
          <w:i/>
        </w:rPr>
        <w:t>geïnformeerd</w:t>
      </w:r>
      <w:r w:rsidRPr="00FD0C97">
        <w:rPr>
          <w:i/>
        </w:rPr>
        <w:t xml:space="preserve"> zijn.</w:t>
      </w:r>
    </w:p>
    <w:p w:rsidR="00AA6D22" w:rsidRDefault="00FD0C97" w:rsidP="0075054C">
      <w:pPr>
        <w:outlineLvl w:val="0"/>
      </w:pPr>
      <w:r>
        <w:t xml:space="preserve">Het RGBZ maakt het aldus mogelijk om een zaak in deelzaken te behandelen maar doet geen expliciete uitspraken over wat een deelzaak is en wanneer een deelzaak toe te passen. Aangezien een deelzaak, net zoals een ‘hoofdzaak’, een praktijksituatie van ZAAK is,  </w:t>
      </w:r>
      <w:r w:rsidR="00A50711">
        <w:t xml:space="preserve">gelden voor zowel hoofd- als deelzaken dezelfde zaaktypen.  Als de zaaktypecatalogus opgesteld is voor ‘hoofdzaken’, wat bij de ZTC 1.0 het geval is, dan impliceert dit dat een deelzaak in een ander geval als hoofdzaak uitgevoerd moet kunnen worden en vice versa. Er zijn immers geen specifieke deelzaaktypen. </w:t>
      </w:r>
    </w:p>
    <w:p w:rsidR="00AA6D22" w:rsidRPr="00AA6D22" w:rsidRDefault="00AA6D22" w:rsidP="0075054C">
      <w:pPr>
        <w:outlineLvl w:val="0"/>
        <w:rPr>
          <w:b/>
        </w:rPr>
      </w:pPr>
      <w:r w:rsidRPr="00AA6D22">
        <w:rPr>
          <w:b/>
        </w:rPr>
        <w:lastRenderedPageBreak/>
        <w:t>Kaders</w:t>
      </w:r>
    </w:p>
    <w:p w:rsidR="002F5F32" w:rsidRDefault="00AA6D22" w:rsidP="0075054C">
      <w:pPr>
        <w:outlineLvl w:val="0"/>
      </w:pPr>
      <w:r>
        <w:t xml:space="preserve">Dat een deelzaak in een andere situatie als hoofdzaak uitgevoerd moet kunnen worden, </w:t>
      </w:r>
      <w:r w:rsidR="00A50711">
        <w:t xml:space="preserve">lijkt een inkadering te zijn van het toepassen van deelzaken. </w:t>
      </w:r>
      <w:r>
        <w:t xml:space="preserve">Er zijn meer kaders. </w:t>
      </w:r>
    </w:p>
    <w:p w:rsidR="00FD0C97" w:rsidRDefault="002F5F32" w:rsidP="0075054C">
      <w:pPr>
        <w:outlineLvl w:val="0"/>
      </w:pPr>
      <w:r>
        <w:t>Zoals: waar begint en eindigt een zaak? Uit de definitie kan afgeleid worden dat dit de welgedefinieerde aanleiding respectievelijk het welgedefinieerde eindresultaat betreft. Ik interpreteer dit als dat de zaak begint bij de vraag van de initiator en eindigt bij het leveren van het resultaat aan die initiator. Aangezien een deelzaak een praktijksituatie is van ZAAK zou dit ook voor een deelzaak gelden.</w:t>
      </w:r>
    </w:p>
    <w:p w:rsidR="002F5F32" w:rsidRDefault="002F5F32" w:rsidP="0075054C">
      <w:pPr>
        <w:outlineLvl w:val="0"/>
      </w:pPr>
      <w:r>
        <w:t xml:space="preserve">Wat valt er onder één zaak? </w:t>
      </w:r>
      <w:r w:rsidR="00405B63">
        <w:t xml:space="preserve">Anders gezegd, vertaalt een aanleiding, zoals genoemd in de definitie, zich in één zaak, al dan niet met deelzaken, of kan dit tot meerdere zaken, al dan niet met deelzaken, leiden? Daar de vraag van de initiator leidend is, ga ik er van uit dat elke vraag of aanleiding leidt tot één (hoofd)zaak. </w:t>
      </w:r>
      <w:r w:rsidR="008825B9">
        <w:t xml:space="preserve">Wat betekent dit voor eventuele deelzaken? Leiden bepaalde vragen of aanleidingen altijd tot deelzaken? </w:t>
      </w:r>
    </w:p>
    <w:p w:rsidR="008825B9" w:rsidRPr="008825B9" w:rsidRDefault="008825B9" w:rsidP="0075054C">
      <w:pPr>
        <w:outlineLvl w:val="0"/>
        <w:rPr>
          <w:b/>
        </w:rPr>
      </w:pPr>
      <w:r w:rsidRPr="008825B9">
        <w:rPr>
          <w:b/>
        </w:rPr>
        <w:t>Gegevens</w:t>
      </w:r>
    </w:p>
    <w:p w:rsidR="008825B9" w:rsidRDefault="008825B9" w:rsidP="0075054C">
      <w:pPr>
        <w:outlineLvl w:val="0"/>
      </w:pPr>
      <w:r>
        <w:t>Aangezien zowel een ‘hoofdzaak’ als een deelzaak praktijksituaties zijn van dezelfde ZAAK, zijn de gegevens van hoofd- en deelzaak dezelfde. Het RGBZ maakt hierop één uitzondering: de relatie naar een zaakobject is bij een ‘hoofdzaak’ verplicht, bij een deelzaak optioneel. Dat betekent dat een deelzaak bijvoorbeeld betrokkenen in hun rollen kent. Gaat het dan om dezelfde betrokkenen en rollen als bij de ‘hoofdzaak’? En hoe zit dit bij andere zaakgegevens?</w:t>
      </w:r>
    </w:p>
    <w:p w:rsidR="008825B9" w:rsidRPr="008825B9" w:rsidRDefault="008825B9" w:rsidP="0075054C">
      <w:pPr>
        <w:outlineLvl w:val="0"/>
        <w:rPr>
          <w:b/>
        </w:rPr>
      </w:pPr>
      <w:r w:rsidRPr="008825B9">
        <w:rPr>
          <w:b/>
        </w:rPr>
        <w:t>Duidelijkheid</w:t>
      </w:r>
    </w:p>
    <w:p w:rsidR="008825B9" w:rsidRDefault="004B6715" w:rsidP="0075054C">
      <w:pPr>
        <w:outlineLvl w:val="0"/>
      </w:pPr>
      <w:r>
        <w:t xml:space="preserve">Al met al geeft het RGBZ onvoldoende houvast ten aanzien van het omgaan met deelzaken. Interessant te weten is hoe in de praktijk met deelzaken wordt omgegaan. </w:t>
      </w:r>
    </w:p>
    <w:p w:rsidR="004B6715" w:rsidRPr="0075054C" w:rsidRDefault="004B6715" w:rsidP="0075054C">
      <w:pPr>
        <w:outlineLvl w:val="0"/>
      </w:pPr>
      <w:r>
        <w:t>De in de werkgroep te voeren discussie moet er aan bijdragen het beoogde gebruik van deelzaken afdoende te standaardiseren en daarmee informatie-uitwisseling ook over deelzaken mogelijk te maken zonder spraakverwarring en tevens zaak- en deelzaaktypen te kunnen specificeren op basis van de ZTC 2.0.</w:t>
      </w:r>
    </w:p>
    <w:sectPr w:rsidR="004B6715" w:rsidRPr="0075054C" w:rsidSect="00F86001">
      <w:headerReference w:type="default" r:id="rId9"/>
      <w:footerReference w:type="default" r:id="rId10"/>
      <w:pgSz w:w="11906" w:h="16838"/>
      <w:pgMar w:top="1985"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8A9" w:rsidRDefault="002178A9" w:rsidP="008B6B0D">
      <w:pPr>
        <w:spacing w:before="0" w:line="240" w:lineRule="auto"/>
      </w:pPr>
      <w:r>
        <w:separator/>
      </w:r>
    </w:p>
  </w:endnote>
  <w:endnote w:type="continuationSeparator" w:id="0">
    <w:p w:rsidR="002178A9" w:rsidRDefault="002178A9" w:rsidP="008B6B0D">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21597718"/>
      <w:docPartObj>
        <w:docPartGallery w:val="Page Numbers (Bottom of Page)"/>
        <w:docPartUnique/>
      </w:docPartObj>
    </w:sdtPr>
    <w:sdtContent>
      <w:p w:rsidR="008825B9" w:rsidRPr="00F86001" w:rsidRDefault="008825B9" w:rsidP="00F86001">
        <w:pPr>
          <w:pStyle w:val="Voettekst"/>
          <w:jc w:val="center"/>
          <w:rPr>
            <w:sz w:val="18"/>
            <w:szCs w:val="18"/>
          </w:rPr>
        </w:pPr>
        <w:r w:rsidRPr="00F86001">
          <w:rPr>
            <w:sz w:val="18"/>
            <w:szCs w:val="18"/>
          </w:rPr>
          <w:fldChar w:fldCharType="begin"/>
        </w:r>
        <w:r w:rsidRPr="00F86001">
          <w:rPr>
            <w:sz w:val="18"/>
            <w:szCs w:val="18"/>
          </w:rPr>
          <w:instrText xml:space="preserve"> PAGE   \* MERGEFORMAT </w:instrText>
        </w:r>
        <w:r w:rsidRPr="00F86001">
          <w:rPr>
            <w:sz w:val="18"/>
            <w:szCs w:val="18"/>
          </w:rPr>
          <w:fldChar w:fldCharType="separate"/>
        </w:r>
        <w:r w:rsidR="0059781E">
          <w:rPr>
            <w:noProof/>
            <w:sz w:val="18"/>
            <w:szCs w:val="18"/>
          </w:rPr>
          <w:t>1</w:t>
        </w:r>
        <w:r w:rsidRPr="00F86001">
          <w:rPr>
            <w:sz w:val="18"/>
            <w:szCs w:val="18"/>
          </w:rPr>
          <w:fldChar w:fldCharType="end"/>
        </w:r>
        <w:r w:rsidRPr="00F86001">
          <w:rPr>
            <w:sz w:val="18"/>
            <w:szCs w:val="18"/>
          </w:rPr>
          <w:t xml:space="preserve"> / </w:t>
        </w:r>
        <w:fldSimple w:instr=" NUMPAGES   \* MERGEFORMAT ">
          <w:r w:rsidR="0059781E" w:rsidRPr="0059781E">
            <w:rPr>
              <w:noProof/>
              <w:sz w:val="18"/>
              <w:szCs w:val="18"/>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8A9" w:rsidRDefault="002178A9" w:rsidP="008B6B0D">
      <w:pPr>
        <w:spacing w:before="0" w:line="240" w:lineRule="auto"/>
      </w:pPr>
      <w:r>
        <w:separator/>
      </w:r>
    </w:p>
  </w:footnote>
  <w:footnote w:type="continuationSeparator" w:id="0">
    <w:p w:rsidR="002178A9" w:rsidRDefault="002178A9" w:rsidP="008B6B0D">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5B9" w:rsidRDefault="008825B9">
    <w:pPr>
      <w:pStyle w:val="Koptekst"/>
    </w:pPr>
    <w:r w:rsidRPr="008B6B0D">
      <w:rPr>
        <w:noProof/>
        <w:lang w:eastAsia="nl-NL"/>
      </w:rPr>
      <w:drawing>
        <wp:anchor distT="0" distB="107950" distL="114300" distR="114300" simplePos="0" relativeHeight="251659264" behindDoc="0" locked="0" layoutInCell="1" allowOverlap="1">
          <wp:simplePos x="0" y="0"/>
          <wp:positionH relativeFrom="column">
            <wp:posOffset>4577080</wp:posOffset>
          </wp:positionH>
          <wp:positionV relativeFrom="paragraph">
            <wp:posOffset>-173355</wp:posOffset>
          </wp:positionV>
          <wp:extent cx="1733550" cy="866775"/>
          <wp:effectExtent l="19050" t="0" r="0" b="0"/>
          <wp:wrapSquare wrapText="bothSides"/>
          <wp:docPr id="1" name="Afbeelding 0" descr="KIN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logo.png"/>
                  <pic:cNvPicPr/>
                </pic:nvPicPr>
                <pic:blipFill>
                  <a:blip r:embed="rId1"/>
                  <a:stretch>
                    <a:fillRect/>
                  </a:stretch>
                </pic:blipFill>
                <pic:spPr>
                  <a:xfrm>
                    <a:off x="0" y="0"/>
                    <a:ext cx="1733550" cy="8667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127F1"/>
    <w:multiLevelType w:val="hybridMultilevel"/>
    <w:tmpl w:val="D67E42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A65529F"/>
    <w:multiLevelType w:val="hybridMultilevel"/>
    <w:tmpl w:val="D1E25C2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CED5611"/>
    <w:multiLevelType w:val="hybridMultilevel"/>
    <w:tmpl w:val="837EDFEC"/>
    <w:lvl w:ilvl="0" w:tplc="CF50A4E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B6B0D"/>
    <w:rsid w:val="00012362"/>
    <w:rsid w:val="000237E3"/>
    <w:rsid w:val="00057FBE"/>
    <w:rsid w:val="000631C4"/>
    <w:rsid w:val="000F3956"/>
    <w:rsid w:val="001414EC"/>
    <w:rsid w:val="001613F1"/>
    <w:rsid w:val="001B0F6B"/>
    <w:rsid w:val="001F3E19"/>
    <w:rsid w:val="00203D84"/>
    <w:rsid w:val="002178A9"/>
    <w:rsid w:val="00221843"/>
    <w:rsid w:val="002557D4"/>
    <w:rsid w:val="002A5389"/>
    <w:rsid w:val="002A6C79"/>
    <w:rsid w:val="002B101F"/>
    <w:rsid w:val="002F5F32"/>
    <w:rsid w:val="00326E1E"/>
    <w:rsid w:val="00353F91"/>
    <w:rsid w:val="003A79FC"/>
    <w:rsid w:val="00402972"/>
    <w:rsid w:val="00405B63"/>
    <w:rsid w:val="00413E96"/>
    <w:rsid w:val="0045253D"/>
    <w:rsid w:val="00454235"/>
    <w:rsid w:val="004B6715"/>
    <w:rsid w:val="004C51D4"/>
    <w:rsid w:val="004D72EA"/>
    <w:rsid w:val="00544DB4"/>
    <w:rsid w:val="0059781E"/>
    <w:rsid w:val="006E77ED"/>
    <w:rsid w:val="00700F53"/>
    <w:rsid w:val="0074473D"/>
    <w:rsid w:val="0075054C"/>
    <w:rsid w:val="00750DE8"/>
    <w:rsid w:val="00807252"/>
    <w:rsid w:val="00833773"/>
    <w:rsid w:val="008825B9"/>
    <w:rsid w:val="008A7898"/>
    <w:rsid w:val="008B6B0D"/>
    <w:rsid w:val="008C65B0"/>
    <w:rsid w:val="008D24EE"/>
    <w:rsid w:val="008E05EF"/>
    <w:rsid w:val="009747B2"/>
    <w:rsid w:val="00975216"/>
    <w:rsid w:val="00981BF2"/>
    <w:rsid w:val="009A1F4B"/>
    <w:rsid w:val="009A2C1A"/>
    <w:rsid w:val="00A11F6B"/>
    <w:rsid w:val="00A12F91"/>
    <w:rsid w:val="00A15B78"/>
    <w:rsid w:val="00A23056"/>
    <w:rsid w:val="00A4449A"/>
    <w:rsid w:val="00A45C3D"/>
    <w:rsid w:val="00A50711"/>
    <w:rsid w:val="00AA6D22"/>
    <w:rsid w:val="00B94363"/>
    <w:rsid w:val="00BA4368"/>
    <w:rsid w:val="00BC54B4"/>
    <w:rsid w:val="00C405A3"/>
    <w:rsid w:val="00C440F0"/>
    <w:rsid w:val="00C94CD6"/>
    <w:rsid w:val="00CD1EF3"/>
    <w:rsid w:val="00CD3107"/>
    <w:rsid w:val="00CD6C15"/>
    <w:rsid w:val="00CF0FF9"/>
    <w:rsid w:val="00D310B0"/>
    <w:rsid w:val="00D946A9"/>
    <w:rsid w:val="00DF404E"/>
    <w:rsid w:val="00E0013B"/>
    <w:rsid w:val="00E455B6"/>
    <w:rsid w:val="00E47A20"/>
    <w:rsid w:val="00E62543"/>
    <w:rsid w:val="00E7577B"/>
    <w:rsid w:val="00ED568B"/>
    <w:rsid w:val="00F0592F"/>
    <w:rsid w:val="00F14A1F"/>
    <w:rsid w:val="00F155F0"/>
    <w:rsid w:val="00F24538"/>
    <w:rsid w:val="00F2537B"/>
    <w:rsid w:val="00F26473"/>
    <w:rsid w:val="00F744FB"/>
    <w:rsid w:val="00F85DCE"/>
    <w:rsid w:val="00F86001"/>
    <w:rsid w:val="00FB0C60"/>
    <w:rsid w:val="00FD0C97"/>
    <w:rsid w:val="00FF526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1BF2"/>
    <w:pPr>
      <w:spacing w:before="60"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8B6B0D"/>
    <w:pPr>
      <w:tabs>
        <w:tab w:val="center" w:pos="4536"/>
        <w:tab w:val="right" w:pos="9072"/>
      </w:tabs>
      <w:spacing w:before="0" w:line="240" w:lineRule="auto"/>
    </w:pPr>
  </w:style>
  <w:style w:type="character" w:customStyle="1" w:styleId="KoptekstChar">
    <w:name w:val="Koptekst Char"/>
    <w:basedOn w:val="Standaardalinea-lettertype"/>
    <w:link w:val="Koptekst"/>
    <w:uiPriority w:val="99"/>
    <w:semiHidden/>
    <w:rsid w:val="008B6B0D"/>
  </w:style>
  <w:style w:type="paragraph" w:styleId="Voettekst">
    <w:name w:val="footer"/>
    <w:basedOn w:val="Standaard"/>
    <w:link w:val="VoettekstChar"/>
    <w:uiPriority w:val="99"/>
    <w:unhideWhenUsed/>
    <w:rsid w:val="008B6B0D"/>
    <w:pPr>
      <w:tabs>
        <w:tab w:val="center" w:pos="4536"/>
        <w:tab w:val="right" w:pos="9072"/>
      </w:tabs>
      <w:spacing w:before="0" w:line="240" w:lineRule="auto"/>
    </w:pPr>
  </w:style>
  <w:style w:type="character" w:customStyle="1" w:styleId="VoettekstChar">
    <w:name w:val="Voettekst Char"/>
    <w:basedOn w:val="Standaardalinea-lettertype"/>
    <w:link w:val="Voettekst"/>
    <w:uiPriority w:val="99"/>
    <w:rsid w:val="008B6B0D"/>
  </w:style>
  <w:style w:type="paragraph" w:styleId="Lijstalinea">
    <w:name w:val="List Paragraph"/>
    <w:basedOn w:val="Standaard"/>
    <w:uiPriority w:val="34"/>
    <w:qFormat/>
    <w:rsid w:val="008B6B0D"/>
    <w:pPr>
      <w:ind w:left="720"/>
      <w:contextualSpacing/>
    </w:pPr>
  </w:style>
  <w:style w:type="paragraph" w:styleId="Ballontekst">
    <w:name w:val="Balloon Text"/>
    <w:basedOn w:val="Standaard"/>
    <w:link w:val="BallontekstChar"/>
    <w:uiPriority w:val="99"/>
    <w:semiHidden/>
    <w:unhideWhenUsed/>
    <w:rsid w:val="00FB0C60"/>
    <w:pPr>
      <w:spacing w:before="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0C60"/>
    <w:rPr>
      <w:rFonts w:ascii="Tahoma" w:hAnsi="Tahoma" w:cs="Tahoma"/>
      <w:sz w:val="16"/>
      <w:szCs w:val="16"/>
    </w:rPr>
  </w:style>
  <w:style w:type="paragraph" w:styleId="Documentstructuur">
    <w:name w:val="Document Map"/>
    <w:basedOn w:val="Standaard"/>
    <w:link w:val="DocumentstructuurChar"/>
    <w:uiPriority w:val="99"/>
    <w:semiHidden/>
    <w:unhideWhenUsed/>
    <w:rsid w:val="00F0592F"/>
    <w:pPr>
      <w:spacing w:before="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F0592F"/>
    <w:rPr>
      <w:rFonts w:ascii="Tahoma" w:hAnsi="Tahoma" w:cs="Tahoma"/>
      <w:sz w:val="16"/>
      <w:szCs w:val="16"/>
    </w:rPr>
  </w:style>
  <w:style w:type="paragraph" w:styleId="Voetnoottekst">
    <w:name w:val="footnote text"/>
    <w:basedOn w:val="Standaard"/>
    <w:link w:val="VoetnoottekstChar"/>
    <w:uiPriority w:val="99"/>
    <w:semiHidden/>
    <w:unhideWhenUsed/>
    <w:rsid w:val="008C65B0"/>
    <w:pPr>
      <w:spacing w:before="0" w:line="240" w:lineRule="auto"/>
    </w:pPr>
    <w:rPr>
      <w:sz w:val="20"/>
      <w:szCs w:val="20"/>
    </w:rPr>
  </w:style>
  <w:style w:type="character" w:customStyle="1" w:styleId="VoetnoottekstChar">
    <w:name w:val="Voetnoottekst Char"/>
    <w:basedOn w:val="Standaardalinea-lettertype"/>
    <w:link w:val="Voetnoottekst"/>
    <w:uiPriority w:val="99"/>
    <w:semiHidden/>
    <w:rsid w:val="008C65B0"/>
    <w:rPr>
      <w:sz w:val="20"/>
      <w:szCs w:val="20"/>
    </w:rPr>
  </w:style>
  <w:style w:type="character" w:styleId="Voetnootmarkering">
    <w:name w:val="footnote reference"/>
    <w:basedOn w:val="Standaardalinea-lettertype"/>
    <w:uiPriority w:val="99"/>
    <w:semiHidden/>
    <w:unhideWhenUsed/>
    <w:rsid w:val="008C65B0"/>
    <w:rPr>
      <w:vertAlign w:val="superscript"/>
    </w:rPr>
  </w:style>
  <w:style w:type="table" w:styleId="Tabelraster">
    <w:name w:val="Table Grid"/>
    <w:basedOn w:val="Standaardtabel"/>
    <w:uiPriority w:val="59"/>
    <w:rsid w:val="008D24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erwijzingopmerking">
    <w:name w:val="annotation reference"/>
    <w:basedOn w:val="Standaardalinea-lettertype"/>
    <w:uiPriority w:val="99"/>
    <w:semiHidden/>
    <w:unhideWhenUsed/>
    <w:rsid w:val="00A11F6B"/>
    <w:rPr>
      <w:sz w:val="16"/>
      <w:szCs w:val="16"/>
    </w:rPr>
  </w:style>
  <w:style w:type="paragraph" w:styleId="Tekstopmerking">
    <w:name w:val="annotation text"/>
    <w:basedOn w:val="Standaard"/>
    <w:link w:val="TekstopmerkingChar"/>
    <w:uiPriority w:val="99"/>
    <w:semiHidden/>
    <w:unhideWhenUsed/>
    <w:rsid w:val="00A11F6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11F6B"/>
    <w:rPr>
      <w:sz w:val="20"/>
      <w:szCs w:val="20"/>
    </w:rPr>
  </w:style>
  <w:style w:type="paragraph" w:styleId="Onderwerpvanopmerking">
    <w:name w:val="annotation subject"/>
    <w:basedOn w:val="Tekstopmerking"/>
    <w:next w:val="Tekstopmerking"/>
    <w:link w:val="OnderwerpvanopmerkingChar"/>
    <w:uiPriority w:val="99"/>
    <w:semiHidden/>
    <w:unhideWhenUsed/>
    <w:rsid w:val="00A11F6B"/>
    <w:rPr>
      <w:b/>
      <w:bCs/>
    </w:rPr>
  </w:style>
  <w:style w:type="character" w:customStyle="1" w:styleId="OnderwerpvanopmerkingChar">
    <w:name w:val="Onderwerp van opmerking Char"/>
    <w:basedOn w:val="TekstopmerkingChar"/>
    <w:link w:val="Onderwerpvanopmerking"/>
    <w:uiPriority w:val="99"/>
    <w:semiHidden/>
    <w:rsid w:val="00A11F6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7D88-F8EA-4B55-8BC9-DA36E781A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750</Words>
  <Characters>4127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RGBZ</dc:subject>
  <dc:creator>Arjan Kloosterboer (KING)</dc:creator>
  <cp:lastModifiedBy>Arjan</cp:lastModifiedBy>
  <cp:revision>11</cp:revision>
  <cp:lastPrinted>2012-03-01T22:48:00Z</cp:lastPrinted>
  <dcterms:created xsi:type="dcterms:W3CDTF">2012-03-05T06:32:00Z</dcterms:created>
  <dcterms:modified xsi:type="dcterms:W3CDTF">2012-03-05T10:00:00Z</dcterms:modified>
  <cp:contentStatus>gespreksnotitie</cp:contentStatus>
</cp:coreProperties>
</file>